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MSP Organization Readiness  ·  Develop  ·  New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SWOT and Competitive Differentiation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Identify where your firm can win: the strengths to build on, the gaps to close, and the competitors and alternatives customers compare you to.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Complete the SWOT with sales, delivery, and marketing leaders in the room.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List the top competitors and alternatives in your target segments.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Summarize two or three differentiators to carry into your unique value proposition.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SWOT analysis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Your entries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Strengths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Skills, certifications, customer relationships, vertical expertise.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Weaknesses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Gaps in coverage, tools, staffing, or brand.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Opportunities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Installed base demand, segments, refresh cycles, Extreme programs.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Threats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Competitors, pricing pressure, in-house IT, talent market.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Competitive landscape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493"/>
        <w:gridCol w:w="2493"/>
        <w:gridCol w:w="2494"/>
      </w:tblGrid>
      <w:tr>
        <w:trPr>
          <w:cantSplit/>
          <w:tblHeader/>
        </w:trPr>
        <w:tc>
          <w:tcPr>
            <w:tcW w:type="dxa" w:w="26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Competitor or alternative</w:t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Where they win</w:t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Where they are weak</w:t>
            </w:r>
          </w:p>
        </w:tc>
        <w:tc>
          <w:tcPr>
            <w:tcW w:type="dxa" w:w="2494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How we differentiate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Example: Regional MSP A</w:t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Price, local presence</w:t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No 24x7 NOC, limited Wi-Fi expertise</w:t>
            </w:r>
          </w:p>
        </w:tc>
        <w:tc>
          <w:tcPr>
            <w:tcW w:type="dxa" w:w="2494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AI-driven Extreme platform with 24x7 monitoring and vertical apps</w:t>
            </w:r>
          </w:p>
        </w:tc>
      </w:tr>
      <w:tr>
        <w:trPr>
          <w:cantSplit/>
          <w:trHeight w:val="480" w:hRule="atLeast"/>
        </w:trPr>
        <w:tc>
          <w:tcPr>
            <w:tcW w:type="dxa" w:w="26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6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6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6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Differentiators to carry forward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Statement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Differentiator 1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Differentiator 2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Differentiator 3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DV4  ·  AMP UP! support: AMP UP! Service Concept Ideation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3aqxcaf2hmd79ns8ttbja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playbook.extrememsp.com/organization#swot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3aqxcaf2hmd79ns8ttbja" Type="http://schemas.openxmlformats.org/officeDocument/2006/relationships/hyperlink" Target="https://playbook.extrememsp.com/organization#swot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SWOT and Competitive Differentiation</dc:title>
  <dc:creator>Extreme Networks | nVision Consulting Group</dc:creator>
  <dc:description>Identify where your firm can win: the strengths to build on, the gaps to close, and the competitors and alternatives customers compare you to.</dc:description>
  <cp:lastModifiedBy>Un-named</cp:lastModifiedBy>
  <cp:revision>1</cp:revision>
  <dcterms:created xsi:type="dcterms:W3CDTF">2026-10-08T15:02:06.603Z</dcterms:created>
  <dcterms:modified xsi:type="dcterms:W3CDTF">2026-10-08T15:02:06.603Z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