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 w:line="276" w:lineRule="auto"/>
      </w:pPr>
      <w:r>
        <w:rPr>
          <w:rFonts w:ascii="Arial" w:cs="Arial" w:eastAsia="Arial" w:hAnsi="Arial"/>
          <w:b/>
          <w:bCs/>
          <w:caps/>
          <w:color w:val="5B059C"/>
          <w:spacing w:val="20"/>
          <w:sz w:val="16"/>
          <w:szCs w:val="16"/>
        </w:rPr>
        <w:t xml:space="preserve">MSP Operational Readiness  ·  Deliver  ·  New</w:t>
      </w:r>
    </w:p>
    <w:p>
      <w:pPr>
        <w:spacing w:after="120" w:before="0" w:line="250" w:lineRule="auto"/>
      </w:pPr>
      <w:r>
        <w:rPr>
          <w:rFonts w:ascii="Arial" w:cs="Arial" w:eastAsia="Arial" w:hAnsi="Arial"/>
          <w:b/>
          <w:bCs/>
          <w:color w:val="1A1A1F"/>
          <w:sz w:val="40"/>
          <w:szCs w:val="40"/>
        </w:rPr>
        <w:t xml:space="preserve">Customer Success Plan and QBR</w:t>
      </w:r>
    </w:p>
    <w:p>
      <w:pPr>
        <w:pBdr>
          <w:bottom w:val="single" w:color="E0409F" w:sz="18" w:space="1"/>
        </w:pBdr>
        <w:spacing w:after="160"/>
        <w:ind w:right="8680"/>
      </w:pPr>
      <w:r>
        <w:rPr>
          <w:rFonts w:ascii="Arial" w:cs="Arial" w:eastAsia="Arial" w:hAnsi="Arial"/>
          <w:color w:val="1A1A1F"/>
          <w:sz w:val="20"/>
          <w:szCs w:val="20"/>
        </w:rPr>
        <w:t xml:space="preserve"> </w:t>
      </w:r>
    </w:p>
    <w:p>
      <w:pPr>
        <w:spacing w:after="160" w:before="0" w:line="276" w:lineRule="auto"/>
      </w:pPr>
      <w:r>
        <w:rPr>
          <w:rFonts w:ascii="Arial" w:cs="Arial" w:eastAsia="Arial" w:hAnsi="Arial"/>
          <w:color w:val="1A1A1F"/>
          <w:sz w:val="21"/>
          <w:szCs w:val="21"/>
        </w:rPr>
        <w:t xml:space="preserve">Agree on the outcomes each customer expects, track progress, and run quarterly business reviews that drive renewal and expansion.</w:t>
      </w:r>
    </w:p>
    <w:p>
      <w:pPr>
        <w:keepNext/>
        <w:spacing w:after="60" w:before="0" w:line="276" w:lineRule="auto"/>
      </w:pPr>
      <w:r>
        <w:rPr>
          <w:rFonts w:ascii="Arial" w:cs="Arial" w:eastAsia="Arial" w:hAnsi="Arial"/>
          <w:b/>
          <w:bCs/>
          <w:color w:val="20004C"/>
          <w:sz w:val="20"/>
          <w:szCs w:val="20"/>
        </w:rPr>
        <w:t xml:space="preserve">How to use</w:t>
      </w:r>
    </w:p>
    <w:p>
      <w:pPr>
        <w:pStyle w:val="ListParagraph"/>
        <w:numPr>
          <w:ilvl w:val="0"/>
          <w:numId w:val="2"/>
        </w:numPr>
        <w:spacing w:after="40" w:before="0" w:line="276" w:lineRule="auto"/>
      </w:pPr>
      <w:r>
        <w:rPr>
          <w:rFonts w:ascii="Arial" w:cs="Arial" w:eastAsia="Arial" w:hAnsi="Arial"/>
          <w:color w:val="1A1A1F"/>
          <w:sz w:val="19"/>
          <w:szCs w:val="19"/>
        </w:rPr>
        <w:t xml:space="preserve">Complete the success plan with the customer within 30 days of go-live.</w:t>
      </w:r>
    </w:p>
    <w:p>
      <w:pPr>
        <w:pStyle w:val="ListParagraph"/>
        <w:numPr>
          <w:ilvl w:val="0"/>
          <w:numId w:val="2"/>
        </w:numPr>
        <w:spacing w:after="40" w:before="0" w:line="276" w:lineRule="auto"/>
      </w:pPr>
      <w:r>
        <w:rPr>
          <w:rFonts w:ascii="Arial" w:cs="Arial" w:eastAsia="Arial" w:hAnsi="Arial"/>
          <w:color w:val="1A1A1F"/>
          <w:sz w:val="19"/>
          <w:szCs w:val="19"/>
        </w:rPr>
        <w:t xml:space="preserve">Review it in every QBR using the agenda below.</w:t>
      </w:r>
    </w:p>
    <w:p>
      <w:pPr>
        <w:pStyle w:val="ListParagraph"/>
        <w:numPr>
          <w:ilvl w:val="0"/>
          <w:numId w:val="2"/>
        </w:numPr>
        <w:spacing w:after="40" w:before="0" w:line="276" w:lineRule="auto"/>
      </w:pPr>
      <w:r>
        <w:rPr>
          <w:rFonts w:ascii="Arial" w:cs="Arial" w:eastAsia="Arial" w:hAnsi="Arial"/>
          <w:color w:val="1A1A1F"/>
          <w:sz w:val="19"/>
          <w:szCs w:val="19"/>
        </w:rPr>
        <w:t xml:space="preserve">Log expansion opportunities and risks after each review.</w:t>
      </w:r>
    </w:p>
    <w:p>
      <w:pPr>
        <w:spacing w:after="60" w:before="100" w:line="276" w:lineRule="auto"/>
      </w:pPr>
      <w:r>
        <w:rPr>
          <w:rFonts w:ascii="Arial" w:cs="Arial" w:eastAsia="Arial" w:hAnsi="Arial"/>
          <w:color w:val="5D5D66"/>
          <w:sz w:val="17"/>
          <w:szCs w:val="17"/>
        </w:rPr>
        <w:t xml:space="preserve">Shaded cells are yours to complete. </w:t>
      </w:r>
      <w:r>
        <w:rPr>
          <w:rFonts w:ascii="Arial" w:cs="Arial" w:eastAsia="Arial" w:hAnsi="Arial"/>
          <w:i/>
          <w:iCs/>
          <w:color w:val="8A8A94"/>
          <w:sz w:val="17"/>
          <w:szCs w:val="17"/>
        </w:rPr>
        <w:t xml:space="preserve">Gray italic rows show an example.</w:t>
      </w:r>
    </w:p>
    <w:p>
      <w:pPr>
        <w:keepNext/>
        <w:spacing w:after="100" w:before="280" w:line="276" w:lineRule="auto"/>
      </w:pPr>
      <w:r>
        <w:rPr>
          <w:rFonts w:ascii="Arial" w:cs="Arial" w:eastAsia="Arial" w:hAnsi="Arial"/>
          <w:b/>
          <w:bCs/>
          <w:color w:val="20004C"/>
          <w:sz w:val="24"/>
          <w:szCs w:val="24"/>
        </w:rPr>
        <w:t xml:space="preserve">Customer success plan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6780"/>
      </w:tblGrid>
      <w:tr>
        <w:trPr>
          <w:cantSplit/>
          <w:tblHeader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Item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Your entry</w:t>
            </w:r>
          </w:p>
        </w:tc>
      </w:tr>
      <w:tr>
        <w:trPr>
          <w:cantSplit/>
          <w:trHeight w:val="640" w:hRule="atLeast"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Customer and services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Business outcomes the customer expects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Success measures and targets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Key stakeholders (customer / your team)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Risks to success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Expansion opportunities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after="100" w:before="280" w:line="276" w:lineRule="auto"/>
      </w:pPr>
      <w:r>
        <w:rPr>
          <w:rFonts w:ascii="Arial" w:cs="Arial" w:eastAsia="Arial" w:hAnsi="Arial"/>
          <w:b/>
          <w:bCs/>
          <w:color w:val="20004C"/>
          <w:sz w:val="24"/>
          <w:szCs w:val="24"/>
        </w:rPr>
        <w:t xml:space="preserve">Quarterly business review agenda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7380"/>
      </w:tblGrid>
      <w:tr>
        <w:trPr>
          <w:cantSplit/>
          <w:tblHeader/>
        </w:trPr>
        <w:tc>
          <w:tcPr>
            <w:tcW w:type="dxa" w:w="27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Section</w:t>
            </w:r>
          </w:p>
        </w:tc>
        <w:tc>
          <w:tcPr>
            <w:tcW w:type="dxa" w:w="73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Content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5F5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7"/>
                <w:szCs w:val="17"/>
              </w:rPr>
              <w:t xml:space="preserve">1. Outcomes review</w:t>
            </w:r>
          </w:p>
        </w:tc>
        <w:tc>
          <w:tcPr>
            <w:tcW w:type="dxa" w:w="73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5F5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 w:val="false"/>
                <w:bCs w:val="false"/>
                <w:color w:val="1A1A1F"/>
                <w:sz w:val="17"/>
                <w:szCs w:val="17"/>
              </w:rPr>
              <w:t xml:space="preserve">Progress against the success measures.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5F5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7"/>
                <w:szCs w:val="17"/>
              </w:rPr>
              <w:t xml:space="preserve">2. Service performance</w:t>
            </w:r>
          </w:p>
        </w:tc>
        <w:tc>
          <w:tcPr>
            <w:tcW w:type="dxa" w:w="73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5F5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 w:val="false"/>
                <w:bCs w:val="false"/>
                <w:color w:val="1A1A1F"/>
                <w:sz w:val="17"/>
                <w:szCs w:val="17"/>
              </w:rPr>
              <w:t xml:space="preserve">SLA attainment, incidents, changes, trends.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5F5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7"/>
                <w:szCs w:val="17"/>
              </w:rPr>
              <w:t xml:space="preserve">3. Insights</w:t>
            </w:r>
          </w:p>
        </w:tc>
        <w:tc>
          <w:tcPr>
            <w:tcW w:type="dxa" w:w="73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5F5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 w:val="false"/>
                <w:bCs w:val="false"/>
                <w:color w:val="1A1A1F"/>
                <w:sz w:val="17"/>
                <w:szCs w:val="17"/>
              </w:rPr>
              <w:t xml:space="preserve">Network health, usage, and security insights from the Extreme platform.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5F5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7"/>
                <w:szCs w:val="17"/>
              </w:rPr>
              <w:t xml:space="preserve">4. Roadmap</w:t>
            </w:r>
          </w:p>
        </w:tc>
        <w:tc>
          <w:tcPr>
            <w:tcW w:type="dxa" w:w="73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5F5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 w:val="false"/>
                <w:bCs w:val="false"/>
                <w:color w:val="1A1A1F"/>
                <w:sz w:val="17"/>
                <w:szCs w:val="17"/>
              </w:rPr>
              <w:t xml:space="preserve">Customer plans and your service roadmap.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5F5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7"/>
                <w:szCs w:val="17"/>
              </w:rPr>
              <w:t xml:space="preserve">5. Recommendations</w:t>
            </w:r>
          </w:p>
        </w:tc>
        <w:tc>
          <w:tcPr>
            <w:tcW w:type="dxa" w:w="73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5F5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 w:val="false"/>
                <w:bCs w:val="false"/>
                <w:color w:val="1A1A1F"/>
                <w:sz w:val="17"/>
                <w:szCs w:val="17"/>
              </w:rPr>
              <w:t xml:space="preserve">Optimization and expansion opportunities.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5F5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7"/>
                <w:szCs w:val="17"/>
              </w:rPr>
              <w:t xml:space="preserve">6. Actions</w:t>
            </w:r>
          </w:p>
        </w:tc>
        <w:tc>
          <w:tcPr>
            <w:tcW w:type="dxa" w:w="73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5F5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 w:val="false"/>
                <w:bCs w:val="false"/>
                <w:color w:val="1A1A1F"/>
                <w:sz w:val="17"/>
                <w:szCs w:val="17"/>
              </w:rPr>
              <w:t xml:space="preserve">Owners and dates.</w:t>
            </w:r>
          </w:p>
        </w:tc>
      </w:tr>
    </w:tbl>
    <w:p>
      <w:pPr>
        <w:spacing w:after="40" w:before="320" w:line="276" w:lineRule="auto"/>
      </w:pPr>
      <w:r>
        <w:rPr>
          <w:rFonts w:ascii="Arial" w:cs="Arial" w:eastAsia="Arial" w:hAnsi="Arial"/>
          <w:color w:val="5D5D66"/>
          <w:sz w:val="17"/>
          <w:szCs w:val="17"/>
        </w:rPr>
        <w:t xml:space="preserve">Supports Action Plan DL8  ·  AMP UP! support: AMP UP! Managed Services Optimization Workshop</w:t>
      </w:r>
    </w:p>
    <w:p>
      <w:pPr>
        <w:spacing w:after="0" w:before="0" w:line="276" w:lineRule="auto"/>
      </w:pPr>
      <w:r>
        <w:rPr>
          <w:rFonts w:ascii="Arial" w:cs="Arial" w:eastAsia="Arial" w:hAnsi="Arial"/>
          <w:color w:val="5D5D66"/>
          <w:sz w:val="17"/>
          <w:szCs w:val="17"/>
        </w:rPr>
        <w:t xml:space="preserve">Guidance and related templates: </w:t>
      </w:r>
      <w:hyperlink w:history="1" r:id="rIdrkxwk-ge2xmqkvn4flcjx">
        <w:r>
          <w:rPr>
            <w:rFonts w:ascii="Arial" w:cs="Arial" w:eastAsia="Arial" w:hAnsi="Arial"/>
            <w:color w:val="7519F9"/>
            <w:sz w:val="17"/>
            <w:szCs w:val="17"/>
            <w:u w:val="single"/>
          </w:rPr>
          <w:t xml:space="preserve">playbook.extrememsp.com/operations#customer-success</w:t>
        </w:r>
      </w:hyperlink>
    </w:p>
    <w:sectPr>
      <w:headerReference w:type="default" r:id="rId7"/>
      <w:footerReference w:type="default" r:id="rId8"/>
      <w:pgSz w:w="12240" w:h="15840" w:orient="portrait"/>
      <w:pgMar w:top="1300" w:right="1080" w:bottom="1000" w:left="1080" w:header="50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080"/>
      </w:tabs>
    </w:pPr>
    <w:r>
      <w:rPr>
        <w:rFonts w:ascii="Arial" w:cs="Arial" w:eastAsia="Arial" w:hAnsi="Arial"/>
        <w:color w:val="5D5D66"/>
        <w:sz w:val="14"/>
        <w:szCs w:val="14"/>
      </w:rPr>
      <w:t xml:space="preserve">© 2026 Extreme Networks, Inc. and nVision Consulting Group. All rights reserved.</w:t>
    </w:r>
    <w:r>
      <w:rPr>
        <w:rFonts w:ascii="Arial" w:cs="Arial" w:eastAsia="Arial" w:hAnsi="Arial"/>
        <w:color w:val="5D5D66"/>
        <w:sz w:val="14"/>
        <w:szCs w:val="14"/>
      </w:rPr>
      <w:t xml:space="preserve">	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10080"/>
      </w:tabs>
    </w:pPr>
    <w:r>
      <w:drawing>
        <wp:inline distT="0" distB="0" distL="0" distR="0">
          <wp:extent cx="1504950" cy="314325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4950" cy="3143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color w:val="5D5D66"/>
        <w:sz w:val="16"/>
        <w:szCs w:val="16"/>
      </w:rPr>
      <w:t xml:space="preserve">	MSP Practice Playbook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6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rkxwk-ge2xmqkvn4flcjx" Type="http://schemas.openxmlformats.org/officeDocument/2006/relationships/hyperlink" Target="https://playbook.extrememsp.com/operations#customer-success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f7dd4dc7b276e7b397a8d711de4dee1512fa43aa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Customer Success Plan and QBR</dc:title>
  <dc:creator>Extreme Networks | nVision Consulting Group</dc:creator>
  <dc:description>Agree on the outcomes each customer expects, track progress, and run quarterly business reviews that drive renewal and expansion.</dc:description>
  <cp:lastModifiedBy>Un-named</cp:lastModifiedBy>
  <cp:revision>1</cp:revision>
  <dcterms:created xsi:type="dcterms:W3CDTF">2026-10-08T15:02:06.744Z</dcterms:created>
  <dcterms:modified xsi:type="dcterms:W3CDTF">2026-10-08T15:02:06.744Z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